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B8B2" w14:textId="77777777" w:rsidR="004D2541" w:rsidRPr="004D2541" w:rsidRDefault="004D2541" w:rsidP="004D2541">
      <w:pPr>
        <w:spacing w:after="75" w:line="240" w:lineRule="auto"/>
        <w:outlineLvl w:val="0"/>
        <w:rPr>
          <w:rFonts w:ascii="Montserrat" w:eastAsia="Times New Roman" w:hAnsi="Montserrat" w:cs="Times New Roman"/>
          <w:color w:val="323D4C"/>
          <w:kern w:val="36"/>
          <w:sz w:val="36"/>
          <w:szCs w:val="36"/>
          <w:lang w:eastAsia="cs-CZ"/>
        </w:rPr>
      </w:pPr>
      <w:r w:rsidRPr="004D2541">
        <w:rPr>
          <w:rFonts w:ascii="Montserrat" w:eastAsia="Times New Roman" w:hAnsi="Montserrat" w:cs="Times New Roman"/>
          <w:color w:val="323D4C"/>
          <w:kern w:val="36"/>
          <w:sz w:val="36"/>
          <w:szCs w:val="36"/>
          <w:lang w:eastAsia="cs-CZ"/>
        </w:rPr>
        <w:t>Povinná dokumentace ŠMP</w:t>
      </w:r>
    </w:p>
    <w:p w14:paraId="390834EB" w14:textId="77777777" w:rsidR="004D2541" w:rsidRPr="004D2541" w:rsidRDefault="004D2541" w:rsidP="004D254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b/>
          <w:bCs/>
          <w:color w:val="323D4C"/>
          <w:sz w:val="24"/>
          <w:szCs w:val="24"/>
          <w:lang w:eastAsia="cs-CZ"/>
        </w:rPr>
        <w:t>Tyto dokumenty definují, jakou dokumentaci má školní metodik prevence vést:</w:t>
      </w:r>
    </w:p>
    <w:p w14:paraId="0AE2F451" w14:textId="77777777" w:rsidR="004D2541" w:rsidRPr="004D2541" w:rsidRDefault="004D2541" w:rsidP="004D2541">
      <w:pPr>
        <w:shd w:val="clear" w:color="auto" w:fill="FFFFFF"/>
        <w:spacing w:before="312" w:after="312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(webové odkazy jsou uvedeny v záložce „Legislativa“)</w:t>
      </w:r>
    </w:p>
    <w:p w14:paraId="3FC36BD7" w14:textId="77777777" w:rsidR="004D2541" w:rsidRPr="004D2541" w:rsidRDefault="004D2541" w:rsidP="004D2541">
      <w:pPr>
        <w:shd w:val="clear" w:color="auto" w:fill="FFFFFF"/>
        <w:spacing w:before="312" w:after="312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Vyhláška č. 179/2016, zejména pak příloha č. 3 standardní činnosti školního metodika prevence</w:t>
      </w:r>
    </w:p>
    <w:p w14:paraId="470CFB96" w14:textId="77777777" w:rsidR="004D2541" w:rsidRPr="004D2541" w:rsidRDefault="004D2541" w:rsidP="004D2541">
      <w:pPr>
        <w:shd w:val="clear" w:color="auto" w:fill="FFFFFF"/>
        <w:spacing w:before="312" w:after="312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Zákon č. 82/2015 Sb., (tzv. školský zákon)</w:t>
      </w:r>
    </w:p>
    <w:p w14:paraId="581C7338" w14:textId="77777777" w:rsidR="004D2541" w:rsidRPr="004D2541" w:rsidRDefault="004D2541" w:rsidP="004D2541">
      <w:pPr>
        <w:shd w:val="clear" w:color="auto" w:fill="FFFFFF"/>
        <w:spacing w:before="312" w:after="312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Metodický pokyn ministryně školství, mládeže a tělovýchovy k prevenci a řešení šikany ve školách a školských zařízeních (č.j. MSMT-21149/2016)</w:t>
      </w:r>
    </w:p>
    <w:p w14:paraId="567D215B" w14:textId="77777777" w:rsidR="004D2541" w:rsidRPr="004D2541" w:rsidRDefault="004D2541" w:rsidP="004D2541">
      <w:pPr>
        <w:shd w:val="clear" w:color="auto" w:fill="FFFFFF"/>
        <w:spacing w:before="312" w:after="312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Metodické doporučení k primární prevenci rizikového chování u dětí a mládeže (č.j.: 21291/2010-28)</w:t>
      </w:r>
    </w:p>
    <w:p w14:paraId="19757D1F" w14:textId="77777777" w:rsidR="004D2541" w:rsidRPr="004D2541" w:rsidRDefault="004D2541" w:rsidP="004D254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323D4C"/>
          <w:sz w:val="48"/>
          <w:szCs w:val="48"/>
          <w:lang w:eastAsia="cs-CZ"/>
        </w:rPr>
      </w:pPr>
      <w:r w:rsidRPr="004D2541">
        <w:rPr>
          <w:rFonts w:ascii="inherit" w:eastAsia="Times New Roman" w:hAnsi="inherit" w:cs="Times New Roman"/>
          <w:color w:val="323D4C"/>
          <w:sz w:val="48"/>
          <w:szCs w:val="48"/>
          <w:lang w:eastAsia="cs-CZ"/>
        </w:rPr>
        <w:t>Základní dokumenty jsou</w:t>
      </w:r>
    </w:p>
    <w:p w14:paraId="4B4DD8AA" w14:textId="77777777" w:rsidR="004D2541" w:rsidRPr="004D2541" w:rsidRDefault="004D2541" w:rsidP="004D2541">
      <w:pPr>
        <w:pBdr>
          <w:left w:val="single" w:sz="36" w:space="15" w:color="DE2843"/>
        </w:pBdr>
        <w:shd w:val="clear" w:color="auto" w:fill="FFFFFF"/>
        <w:spacing w:before="360" w:after="360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b/>
          <w:bCs/>
          <w:color w:val="323D4C"/>
          <w:sz w:val="24"/>
          <w:szCs w:val="24"/>
          <w:lang w:eastAsia="cs-CZ"/>
        </w:rPr>
        <w:t>Školní preventivní strategie školy </w:t>
      </w: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(ŠPSŠ), zpracovaná na několik let a obsahující Program proti šikanování, případně Sankční řád</w:t>
      </w:r>
    </w:p>
    <w:p w14:paraId="047DD9C3" w14:textId="77777777" w:rsidR="004D2541" w:rsidRPr="004D2541" w:rsidRDefault="004D2541" w:rsidP="004D2541">
      <w:pPr>
        <w:pBdr>
          <w:left w:val="single" w:sz="36" w:space="15" w:color="DE2843"/>
        </w:pBdr>
        <w:shd w:val="clear" w:color="auto" w:fill="FFFFFF"/>
        <w:spacing w:before="360" w:after="360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b/>
          <w:bCs/>
          <w:color w:val="323D4C"/>
          <w:sz w:val="24"/>
          <w:szCs w:val="24"/>
          <w:lang w:eastAsia="cs-CZ"/>
        </w:rPr>
        <w:t>Preventivní program školy </w:t>
      </w: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 (PPŠ – dříve nazýván Minimální preventivní program) zpracovávaný pro každý školní rok, přílohou jsou </w:t>
      </w:r>
      <w:r w:rsidRPr="004D2541">
        <w:rPr>
          <w:rFonts w:ascii="Montserrat" w:eastAsia="Times New Roman" w:hAnsi="Montserrat" w:cs="Times New Roman"/>
          <w:b/>
          <w:bCs/>
          <w:color w:val="323D4C"/>
          <w:sz w:val="24"/>
          <w:szCs w:val="24"/>
          <w:lang w:eastAsia="cs-CZ"/>
        </w:rPr>
        <w:t>Krizové plány</w:t>
      </w: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 a </w:t>
      </w:r>
      <w:r w:rsidRPr="004D2541">
        <w:rPr>
          <w:rFonts w:ascii="Montserrat" w:eastAsia="Times New Roman" w:hAnsi="Montserrat" w:cs="Times New Roman"/>
          <w:b/>
          <w:bCs/>
          <w:color w:val="323D4C"/>
          <w:sz w:val="24"/>
          <w:szCs w:val="24"/>
          <w:lang w:eastAsia="cs-CZ"/>
        </w:rPr>
        <w:t>Strategie předcházení školní neúspěšnosti, šikaně a dalším projevům rizikového chování</w:t>
      </w:r>
    </w:p>
    <w:p w14:paraId="6B17C5CF" w14:textId="77777777" w:rsidR="004D2541" w:rsidRPr="004D2541" w:rsidRDefault="004D2541" w:rsidP="004D2541">
      <w:pPr>
        <w:pBdr>
          <w:left w:val="single" w:sz="36" w:space="15" w:color="DE2843"/>
        </w:pBdr>
        <w:shd w:val="clear" w:color="auto" w:fill="FFFFFF"/>
        <w:spacing w:before="360" w:after="360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Jak vypracovat PPŠ je podrobněji uvedeno v záložce „Preventivní program školy“. </w:t>
      </w:r>
      <w:r w:rsidRPr="004D2541">
        <w:rPr>
          <w:rFonts w:ascii="Montserrat" w:eastAsia="Times New Roman" w:hAnsi="Montserrat" w:cs="Times New Roman"/>
          <w:b/>
          <w:bCs/>
          <w:color w:val="323D4C"/>
          <w:sz w:val="24"/>
          <w:szCs w:val="24"/>
          <w:lang w:eastAsia="cs-CZ"/>
        </w:rPr>
        <w:t>Výše uvedené dva dokumenty (ŠPSŠ a PPŠ) jsou naprosto klíčové a každá škola je musí mít řádně zpracované. </w:t>
      </w: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Preventivní program školy může být vypracován elektronicky v Systému evidence preventivních aktivit (SEPA viz </w:t>
      </w:r>
      <w:hyperlink r:id="rId4" w:history="1">
        <w:r w:rsidRPr="004D2541">
          <w:rPr>
            <w:rFonts w:ascii="Montserrat" w:eastAsia="Times New Roman" w:hAnsi="Montserrat" w:cs="Times New Roman"/>
            <w:color w:val="A80089"/>
            <w:sz w:val="24"/>
            <w:szCs w:val="24"/>
            <w:u w:val="single"/>
            <w:lang w:eastAsia="cs-CZ"/>
          </w:rPr>
          <w:t>https://www.preventivni-aktivity.cz</w:t>
        </w:r>
      </w:hyperlink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).</w:t>
      </w:r>
    </w:p>
    <w:p w14:paraId="0A0C8A57" w14:textId="77777777" w:rsidR="004D2541" w:rsidRPr="004D2541" w:rsidRDefault="004D2541" w:rsidP="004D254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323D4C"/>
          <w:sz w:val="48"/>
          <w:szCs w:val="48"/>
          <w:lang w:eastAsia="cs-CZ"/>
        </w:rPr>
      </w:pPr>
      <w:r w:rsidRPr="004D2541">
        <w:rPr>
          <w:rFonts w:ascii="inherit" w:eastAsia="Times New Roman" w:hAnsi="inherit" w:cs="Times New Roman"/>
          <w:color w:val="323D4C"/>
          <w:sz w:val="48"/>
          <w:szCs w:val="48"/>
          <w:lang w:eastAsia="cs-CZ"/>
        </w:rPr>
        <w:t>Mezi další povinnou dokumentaci ŠMP patří</w:t>
      </w:r>
    </w:p>
    <w:p w14:paraId="1E23F410" w14:textId="77777777" w:rsidR="004D2541" w:rsidRPr="004D2541" w:rsidRDefault="004D2541" w:rsidP="004D2541">
      <w:pPr>
        <w:pBdr>
          <w:left w:val="single" w:sz="36" w:space="15" w:color="58AD11"/>
        </w:pBdr>
        <w:shd w:val="clear" w:color="auto" w:fill="FFFFFF"/>
        <w:spacing w:before="360" w:after="360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b/>
          <w:bCs/>
          <w:color w:val="323D4C"/>
          <w:sz w:val="24"/>
          <w:szCs w:val="24"/>
          <w:lang w:eastAsia="cs-CZ"/>
        </w:rPr>
        <w:t>Deník školního metodika prevence </w:t>
      </w: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– povinná součást dokumentace ŠMP, obsahuje veškerou činnost ŠMP (aktivity s dětmi, akce; zapsat kdy, co a pro koho se konalo) – může ho nahradit </w:t>
      </w:r>
      <w:r w:rsidRPr="004D2541">
        <w:rPr>
          <w:rFonts w:ascii="Montserrat" w:eastAsia="Times New Roman" w:hAnsi="Montserrat" w:cs="Times New Roman"/>
          <w:b/>
          <w:bCs/>
          <w:color w:val="323D4C"/>
          <w:sz w:val="24"/>
          <w:szCs w:val="24"/>
          <w:lang w:eastAsia="cs-CZ"/>
        </w:rPr>
        <w:t>výkaz v Systému evidence preventivních aktivit</w:t>
      </w: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.</w:t>
      </w:r>
    </w:p>
    <w:p w14:paraId="6456D616" w14:textId="77777777" w:rsidR="004D2541" w:rsidRPr="004D2541" w:rsidRDefault="004D2541" w:rsidP="004D2541">
      <w:pPr>
        <w:pBdr>
          <w:left w:val="single" w:sz="36" w:space="15" w:color="58AD11"/>
        </w:pBdr>
        <w:shd w:val="clear" w:color="auto" w:fill="FFFFFF"/>
        <w:spacing w:before="360" w:after="360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b/>
          <w:bCs/>
          <w:color w:val="323D4C"/>
          <w:sz w:val="24"/>
          <w:szCs w:val="24"/>
          <w:lang w:eastAsia="cs-CZ"/>
        </w:rPr>
        <w:t>Zápisy řešení</w:t>
      </w: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 aktuálních problémů z oblasti prevence – zapsat nálezy OPL, šetření ohledně šikany, jednotlivá jednání se žáky, rodiči, navrhovaná opatření, apod.</w:t>
      </w:r>
    </w:p>
    <w:p w14:paraId="726006BF" w14:textId="77777777" w:rsidR="004D2541" w:rsidRPr="004D2541" w:rsidRDefault="004D2541" w:rsidP="004D2541">
      <w:pPr>
        <w:pBdr>
          <w:left w:val="single" w:sz="36" w:space="15" w:color="58AD11"/>
        </w:pBdr>
        <w:shd w:val="clear" w:color="auto" w:fill="FFFFFF"/>
        <w:spacing w:before="360" w:after="360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b/>
          <w:bCs/>
          <w:color w:val="323D4C"/>
          <w:sz w:val="24"/>
          <w:szCs w:val="24"/>
          <w:lang w:eastAsia="cs-CZ"/>
        </w:rPr>
        <w:lastRenderedPageBreak/>
        <w:t>Ankety a výsledky různých šetření </w:t>
      </w: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– ŠMP musí archivovat výsledky svých různých šetření a anket.</w:t>
      </w:r>
    </w:p>
    <w:p w14:paraId="68EFB7C8" w14:textId="77777777" w:rsidR="004D2541" w:rsidRPr="004D2541" w:rsidRDefault="004D2541" w:rsidP="004D254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323D4C"/>
          <w:sz w:val="48"/>
          <w:szCs w:val="48"/>
          <w:lang w:eastAsia="cs-CZ"/>
        </w:rPr>
      </w:pPr>
      <w:r w:rsidRPr="004D2541">
        <w:rPr>
          <w:rFonts w:ascii="inherit" w:eastAsia="Times New Roman" w:hAnsi="inherit" w:cs="Times New Roman"/>
          <w:color w:val="323D4C"/>
          <w:sz w:val="48"/>
          <w:szCs w:val="48"/>
          <w:lang w:eastAsia="cs-CZ"/>
        </w:rPr>
        <w:t>Vhodné vést, ale ne nezbytně</w:t>
      </w:r>
    </w:p>
    <w:p w14:paraId="4F6A7129" w14:textId="77777777" w:rsidR="004D2541" w:rsidRPr="004D2541" w:rsidRDefault="004D2541" w:rsidP="004D2541">
      <w:pPr>
        <w:pBdr>
          <w:left w:val="single" w:sz="36" w:space="11" w:color="E0E2E4"/>
        </w:pBdr>
        <w:shd w:val="clear" w:color="auto" w:fill="FFFFFF"/>
        <w:spacing w:before="360" w:after="360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b/>
          <w:bCs/>
          <w:color w:val="323D4C"/>
          <w:sz w:val="24"/>
          <w:szCs w:val="24"/>
          <w:lang w:eastAsia="cs-CZ"/>
        </w:rPr>
        <w:t>Přípravy na metodická vedení</w:t>
      </w: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 učitelů – jednou z činností ŠMP je metodické vedení učitelů, je vhodné si jako doklad o naplňování této činnosti uchovat přípravy na tato jednání.</w:t>
      </w:r>
    </w:p>
    <w:p w14:paraId="41841540" w14:textId="77777777" w:rsidR="004D2541" w:rsidRPr="004D2541" w:rsidRDefault="004D2541" w:rsidP="004D2541">
      <w:pPr>
        <w:pBdr>
          <w:left w:val="single" w:sz="36" w:space="11" w:color="E0E2E4"/>
        </w:pBdr>
        <w:shd w:val="clear" w:color="auto" w:fill="FFFFFF"/>
        <w:spacing w:before="360" w:after="360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b/>
          <w:bCs/>
          <w:color w:val="323D4C"/>
          <w:sz w:val="24"/>
          <w:szCs w:val="24"/>
          <w:lang w:eastAsia="cs-CZ"/>
        </w:rPr>
        <w:t>Zápisy jednání týmu školního poradenského pracoviště</w:t>
      </w: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 jako podklad činnosti týmu (alespoň 3x – 4x ročně, nebo dle potřeby).</w:t>
      </w:r>
    </w:p>
    <w:p w14:paraId="03300C8C" w14:textId="77777777" w:rsidR="004D2541" w:rsidRPr="004D2541" w:rsidRDefault="004D2541" w:rsidP="004D2541">
      <w:pPr>
        <w:pBdr>
          <w:left w:val="single" w:sz="36" w:space="11" w:color="E0E2E4"/>
        </w:pBdr>
        <w:shd w:val="clear" w:color="auto" w:fill="FFFFFF"/>
        <w:spacing w:before="360" w:after="360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b/>
          <w:bCs/>
          <w:color w:val="323D4C"/>
          <w:sz w:val="24"/>
          <w:szCs w:val="24"/>
          <w:lang w:eastAsia="cs-CZ"/>
        </w:rPr>
        <w:t>Evidence akcí s preventivní tematikou, vzdělávání a kontaktů</w:t>
      </w: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 – ŠMP eviduje kontakty důležité pro prevenci SPJ, další akce, projekty atd., případně DVPP v oblasti prevence (toto však obvykle eviduje ředitel školy).</w:t>
      </w:r>
    </w:p>
    <w:p w14:paraId="655E1798" w14:textId="77777777" w:rsidR="004D2541" w:rsidRPr="004D2541" w:rsidRDefault="004D2541" w:rsidP="004D2541">
      <w:pPr>
        <w:shd w:val="clear" w:color="auto" w:fill="FFFFFF"/>
        <w:spacing w:before="312" w:after="312" w:line="240" w:lineRule="auto"/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</w:pPr>
      <w:r w:rsidRPr="004D2541">
        <w:rPr>
          <w:rFonts w:ascii="Montserrat" w:eastAsia="Times New Roman" w:hAnsi="Montserrat" w:cs="Times New Roman"/>
          <w:color w:val="323D4C"/>
          <w:sz w:val="24"/>
          <w:szCs w:val="24"/>
          <w:lang w:eastAsia="cs-CZ"/>
        </w:rPr>
        <w:t> </w:t>
      </w:r>
    </w:p>
    <w:p w14:paraId="65BC2006" w14:textId="77777777" w:rsidR="002319E9" w:rsidRDefault="002319E9"/>
    <w:sectPr w:rsidR="0023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41"/>
    <w:rsid w:val="002319E9"/>
    <w:rsid w:val="004D2541"/>
    <w:rsid w:val="0090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8B78"/>
  <w15:chartTrackingRefBased/>
  <w15:docId w15:val="{FE45FA95-4654-4026-861B-E92528D2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2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D2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25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D25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2541"/>
    <w:rPr>
      <w:b/>
      <w:bCs/>
    </w:rPr>
  </w:style>
  <w:style w:type="paragraph" w:customStyle="1" w:styleId="red">
    <w:name w:val="red"/>
    <w:basedOn w:val="Normln"/>
    <w:rsid w:val="004D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2541"/>
    <w:rPr>
      <w:color w:val="0000FF"/>
      <w:u w:val="single"/>
    </w:rPr>
  </w:style>
  <w:style w:type="paragraph" w:customStyle="1" w:styleId="green">
    <w:name w:val="green"/>
    <w:basedOn w:val="Normln"/>
    <w:rsid w:val="004D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uote-left">
    <w:name w:val="quote-left"/>
    <w:basedOn w:val="Normln"/>
    <w:rsid w:val="004D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ventivni-aktivit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Třešňáková</dc:creator>
  <cp:keywords/>
  <dc:description/>
  <cp:lastModifiedBy>Anna Hybšová</cp:lastModifiedBy>
  <cp:revision>2</cp:revision>
  <cp:lastPrinted>2023-09-22T12:53:00Z</cp:lastPrinted>
  <dcterms:created xsi:type="dcterms:W3CDTF">2023-09-25T08:44:00Z</dcterms:created>
  <dcterms:modified xsi:type="dcterms:W3CDTF">2023-09-25T08:44:00Z</dcterms:modified>
</cp:coreProperties>
</file>